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Global-e Online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REGSH NPV</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Wasatch Advisors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5,802,155.00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8,592,495.00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8,592,495.00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Global-e Online Ltd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 BASEL STREET, PETAH, Israel, 4951038</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Wasatch Advisors LP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505 Wakara Way, 3rd Floor, Salt Lake City, 84108, United States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REGSH NPV</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8,592,495</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5,802,155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8,592,495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00" w:type="dxa"/>
        <w:jc w:val="left"/>
        <w:tblInd w:w="0" w:type="dxa"/>
        <w:tblLayout w:type="fixed"/>
        <w:tblCellMar>
          <w:top w:w="28" w:type="dxa"/>
          <w:left w:w="28" w:type="dxa"/>
          <w:bottom w:w="28" w:type="dxa"/>
          <w:right w:w="28" w:type="dxa"/>
        </w:tblCellMar>
      </w:tblPr>
      <w:tblGrid>
        <w:gridCol w:w="2350"/>
        <w:gridCol w:w="2350"/>
      </w:tblGrid>
      <w:tr>
        <w:trPr/>
        <w:tc>
          <w:tcPr>
            <w:tcW w:w="2350" w:type="dxa"/>
            <w:tcBorders/>
            <w:vAlign w:val="center"/>
          </w:tcPr>
          <w:p>
            <w:pPr>
              <w:pStyle w:val="TableContents"/>
              <w:bidi w:val="0"/>
              <w:spacing w:before="0" w:after="0"/>
              <w:jc w:val="left"/>
              <w:rPr/>
            </w:pPr>
            <w:r>
              <w:rPr/>
              <w:t> </w:t>
            </w:r>
          </w:p>
          <w:tbl>
            <w:tblPr>
              <w:tblW w:w="2236" w:type="dxa"/>
              <w:jc w:val="left"/>
              <w:tblInd w:w="0" w:type="dxa"/>
              <w:tblLayout w:type="fixed"/>
              <w:tblCellMar>
                <w:top w:w="28" w:type="dxa"/>
                <w:left w:w="28" w:type="dxa"/>
                <w:bottom w:w="28" w:type="dxa"/>
                <w:right w:w="28" w:type="dxa"/>
              </w:tblCellMar>
            </w:tblPr>
            <w:tblGrid>
              <w:gridCol w:w="2236"/>
            </w:tblGrid>
            <w:tr>
              <w:trPr/>
              <w:tc>
                <w:tcPr>
                  <w:tcW w:w="2236" w:type="dxa"/>
                  <w:tcBorders/>
                  <w:vAlign w:val="center"/>
                </w:tcPr>
                <w:p>
                  <w:pPr>
                    <w:pStyle w:val="TableContents"/>
                    <w:bidi w:val="0"/>
                    <w:spacing w:before="0" w:after="0"/>
                    <w:jc w:val="left"/>
                    <w:rPr/>
                  </w:pPr>
                  <w:r>
                    <w:rPr/>
                    <w:t>Wasatch Advisors LP</w:t>
                  </w:r>
                </w:p>
              </w:tc>
            </w:tr>
          </w:tbl>
          <w:p>
            <w:pPr>
              <w:pStyle w:val="TableContents"/>
              <w:bidi w:val="0"/>
              <w:spacing w:before="0" w:after="283"/>
              <w:jc w:val="left"/>
              <w:rPr/>
            </w:pPr>
            <w:r>
              <w:rPr/>
            </w:r>
          </w:p>
        </w:tc>
        <w:tc>
          <w:tcPr>
            <w:tcW w:w="2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2"/>
        <w:gridCol w:w="4453"/>
      </w:tblGrid>
      <w:tr>
        <w:trPr/>
        <w:tc>
          <w:tcPr>
            <w:tcW w:w="57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Mike Yeates</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CEO</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4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718</Words>
  <Characters>3686</Characters>
  <CharactersWithSpaces>4396</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